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자동차 매매계약서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(중고차 개인 간 직거래)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아반떼 1.6 가솔린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차량번호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최초등록일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차대번호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주행거리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색 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매매 대금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원정   ( ₩                      )</w:t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(계약 시 지급)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     년   월   일 지급)</w:t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제1조 (목적)  </w:t>
      </w:r>
      <w:r>
        <w:rPr>
          <w:rFonts w:ascii="Malgun Gothic" w:eastAsia="Malgun Gothic" w:hAnsi="Malgun Gothic"/>
          <w:sz w:val="18"/>
          <w:szCs w:val="18"/>
        </w:rPr>
        <w:t xml:space="preserve">매도인은 위 자동차를 매수인에게 매도하고, 매수인은 이를 위 금액으로 매수한다.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제2조 (인도)  </w:t>
      </w:r>
      <w:r>
        <w:rPr>
          <w:rFonts w:ascii="Malgun Gothic" w:eastAsia="Malgun Gothic" w:hAnsi="Malgun Gothic"/>
          <w:sz w:val="18"/>
          <w:szCs w:val="18"/>
        </w:rPr>
        <w:t xml:space="preserve">매도인은 잔금을 받음과 동시에 자동차, 열쇠, 자동차등록증 및 이전등록에 필요한 서류를 매수인에게 인도한다.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제3조 (이전등록)  </w:t>
      </w:r>
      <w:r>
        <w:rPr>
          <w:rFonts w:ascii="Malgun Gothic" w:eastAsia="Malgun Gothic" w:hAnsi="Malgun Gothic"/>
          <w:sz w:val="18"/>
          <w:szCs w:val="18"/>
        </w:rPr>
        <w:t xml:space="preserve">매수인은 자동차를 매수한 날부터 15일 이내에 이전등록을 신청하여야 하며, 매도인은 필요한 서류 발급에 협조한다.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제4조 (제세공과금)  </w:t>
      </w:r>
      <w:r>
        <w:rPr>
          <w:rFonts w:ascii="Malgun Gothic" w:eastAsia="Malgun Gothic" w:hAnsi="Malgun Gothic"/>
          <w:sz w:val="18"/>
          <w:szCs w:val="18"/>
        </w:rPr>
        <w:t xml:space="preserve">인도일 전날까지 발생한 자동차세, 과태료, 범칙금, 통행료 등은 매도인이, 인도일 이후 발생한 것은 매수인이 부담한다.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제5조 (권리 제한)  </w:t>
      </w:r>
      <w:r>
        <w:rPr>
          <w:rFonts w:ascii="Malgun Gothic" w:eastAsia="Malgun Gothic" w:hAnsi="Malgun Gothic"/>
          <w:sz w:val="18"/>
          <w:szCs w:val="18"/>
        </w:rPr>
        <w:t xml:space="preserve">매도인은 압류·저당권 등 권리 제한이 없음을 보증하며, 있는 경우 잔금 지급 전까지 해소한다.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제6조 (차량 상태 고지)  </w:t>
      </w:r>
      <w:r>
        <w:rPr>
          <w:rFonts w:ascii="Malgun Gothic" w:eastAsia="Malgun Gothic" w:hAnsi="Malgun Gothic"/>
          <w:sz w:val="18"/>
          <w:szCs w:val="18"/>
        </w:rPr>
        <w:t xml:space="preserve">매도인은 사고·침수·주요 부품 교환 이력을 특약사항에 사실대로 적으며, 고의로 숨긴 하자가 드러나면 매수인은 계약 해제 또는 손해배상을 청구할 수 있다.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제7조 (계약 해제)  </w:t>
      </w:r>
      <w:r>
        <w:rPr>
          <w:rFonts w:ascii="Malgun Gothic" w:eastAsia="Malgun Gothic" w:hAnsi="Malgun Gothic"/>
          <w:sz w:val="18"/>
          <w:szCs w:val="18"/>
        </w:rPr>
        <w:t xml:space="preserve">잔금 지급 전까지 매수인은 계약금을 포기하고, 매도인은 계약금의 2배를 돌려주고 이 계약을 해제할 수 있다.</w:t>
      </w:r>
    </w:p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(사고 · 수리 이력, 옵션, 하자 등)</w:t>
            </w:r>
          </w:p>
        </w:tc>
      </w:tr>
      <w:tr>
        <w:trPr>
          <w:cantSplit/>
          <w:trHeight w:val="150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2024년 후방 범퍼 교환(단순 교환, 골격 손상 없음) / 침수 이력 없음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34" w:before="134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668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매도인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매수인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car-sale-contract</dc:title>
  <dc:creator>uglydolls.shop</dc:creator>
  <cp:lastModifiedBy>Un-named</cp:lastModifiedBy>
  <cp:revision>1</cp:revision>
  <dcterms:created xsi:type="dcterms:W3CDTF">2026-10-05T03:21:42.348Z</dcterms:created>
  <dcterms:modified xsi:type="dcterms:W3CDTF">2026-10-05T03:21:42.348Z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